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73C" w:rsidRPr="0081273C" w:rsidRDefault="0081273C">
      <w:pPr>
        <w:rPr>
          <w:color w:val="2EAAB4"/>
        </w:rPr>
      </w:pPr>
      <w:r>
        <w:rPr>
          <w:color w:val="2EAAB4"/>
        </w:rPr>
        <w:t>Polecenie:</w:t>
      </w:r>
    </w:p>
    <w:tbl>
      <w:tblPr>
        <w:tblStyle w:val="Tabela-Siatka"/>
        <w:tblW w:w="0" w:type="auto"/>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546"/>
      </w:tblGrid>
      <w:tr w:rsidR="0081273C" w:rsidRPr="0081273C" w:rsidTr="00A1419E">
        <w:tc>
          <w:tcPr>
            <w:tcW w:w="9546" w:type="dxa"/>
            <w:shd w:val="clear" w:color="auto" w:fill="auto"/>
          </w:tcPr>
          <w:p w:rsidR="009E239A" w:rsidRPr="004963D4" w:rsidRDefault="009E239A" w:rsidP="009E239A">
            <w:pPr>
              <w:autoSpaceDE w:val="0"/>
              <w:autoSpaceDN w:val="0"/>
              <w:adjustRightInd w:val="0"/>
              <w:snapToGrid w:val="0"/>
              <w:jc w:val="both"/>
              <w:rPr>
                <w:rFonts w:eastAsia="Times New Roman" w:cs="mesNewRomanPSMT"/>
                <w:color w:val="595959" w:themeColor="text1" w:themeTint="A6"/>
              </w:rPr>
            </w:pPr>
            <w:r w:rsidRPr="004963D4">
              <w:rPr>
                <w:rFonts w:eastAsia="Times New Roman" w:cs="mesNewRomanPSMT"/>
                <w:color w:val="595959" w:themeColor="text1" w:themeTint="A6"/>
              </w:rPr>
              <w:t>1. Wyjustuj pierwszy akapit.</w:t>
            </w:r>
          </w:p>
        </w:tc>
      </w:tr>
      <w:tr w:rsidR="0081273C" w:rsidRPr="0081273C" w:rsidTr="00A1419E">
        <w:tc>
          <w:tcPr>
            <w:tcW w:w="9546" w:type="dxa"/>
            <w:shd w:val="clear" w:color="auto" w:fill="auto"/>
          </w:tcPr>
          <w:p w:rsidR="009E239A" w:rsidRPr="004963D4" w:rsidRDefault="009E239A" w:rsidP="009E239A">
            <w:pPr>
              <w:autoSpaceDE w:val="0"/>
              <w:autoSpaceDN w:val="0"/>
              <w:adjustRightInd w:val="0"/>
              <w:snapToGrid w:val="0"/>
              <w:jc w:val="both"/>
              <w:rPr>
                <w:rFonts w:eastAsia="Times New Roman" w:cs="mesNewRomanPSMT"/>
                <w:color w:val="595959" w:themeColor="text1" w:themeTint="A6"/>
              </w:rPr>
            </w:pPr>
            <w:r w:rsidRPr="004963D4">
              <w:rPr>
                <w:rFonts w:eastAsia="Times New Roman" w:cs="mesNewRomanPSMT"/>
                <w:color w:val="595959" w:themeColor="text1" w:themeTint="A6"/>
              </w:rPr>
              <w:t>2. Wstaw wcięcie pierwszej linii drugiego akapitu.</w:t>
            </w:r>
          </w:p>
        </w:tc>
      </w:tr>
      <w:tr w:rsidR="0081273C" w:rsidRPr="0081273C" w:rsidTr="00A1419E">
        <w:tc>
          <w:tcPr>
            <w:tcW w:w="9546" w:type="dxa"/>
            <w:shd w:val="clear" w:color="auto" w:fill="auto"/>
          </w:tcPr>
          <w:p w:rsidR="009E239A" w:rsidRPr="004963D4" w:rsidRDefault="009E239A" w:rsidP="009E239A">
            <w:pPr>
              <w:autoSpaceDE w:val="0"/>
              <w:autoSpaceDN w:val="0"/>
              <w:adjustRightInd w:val="0"/>
              <w:snapToGrid w:val="0"/>
              <w:jc w:val="both"/>
              <w:rPr>
                <w:rFonts w:eastAsia="Times New Roman" w:cs="mesNewRomanPSMT"/>
                <w:color w:val="595959" w:themeColor="text1" w:themeTint="A6"/>
              </w:rPr>
            </w:pPr>
            <w:r w:rsidRPr="004963D4">
              <w:rPr>
                <w:rFonts w:eastAsia="Times New Roman" w:cs="mesNewRomanPSMT"/>
                <w:color w:val="595959" w:themeColor="text1" w:themeTint="A6"/>
              </w:rPr>
              <w:t>3. Wstaw wcięcie całego trzeciego akapitu.</w:t>
            </w:r>
          </w:p>
        </w:tc>
      </w:tr>
      <w:tr w:rsidR="0081273C" w:rsidRPr="0081273C" w:rsidTr="00A1419E">
        <w:tc>
          <w:tcPr>
            <w:tcW w:w="9546" w:type="dxa"/>
            <w:shd w:val="clear" w:color="auto" w:fill="auto"/>
          </w:tcPr>
          <w:p w:rsidR="009E239A" w:rsidRPr="004963D4" w:rsidRDefault="009E239A" w:rsidP="009B22FE">
            <w:pPr>
              <w:autoSpaceDE w:val="0"/>
              <w:autoSpaceDN w:val="0"/>
              <w:adjustRightInd w:val="0"/>
              <w:snapToGrid w:val="0"/>
              <w:jc w:val="both"/>
              <w:rPr>
                <w:rFonts w:eastAsia="Times New Roman" w:cs="mesNewRomanPSMT"/>
                <w:color w:val="595959" w:themeColor="text1" w:themeTint="A6"/>
              </w:rPr>
            </w:pPr>
            <w:r w:rsidRPr="004963D4">
              <w:rPr>
                <w:rFonts w:eastAsia="Times New Roman" w:cs="mesNewRomanPSMT"/>
                <w:color w:val="595959" w:themeColor="text1" w:themeTint="A6"/>
              </w:rPr>
              <w:t>4. Zmień odległość między akapitami.</w:t>
            </w:r>
          </w:p>
        </w:tc>
      </w:tr>
      <w:tr w:rsidR="0081273C" w:rsidRPr="0081273C" w:rsidTr="00A1419E">
        <w:tc>
          <w:tcPr>
            <w:tcW w:w="9546" w:type="dxa"/>
            <w:shd w:val="clear" w:color="auto" w:fill="auto"/>
          </w:tcPr>
          <w:p w:rsidR="009E239A" w:rsidRPr="004963D4" w:rsidRDefault="009E239A" w:rsidP="009B22FE">
            <w:pPr>
              <w:autoSpaceDE w:val="0"/>
              <w:autoSpaceDN w:val="0"/>
              <w:adjustRightInd w:val="0"/>
              <w:snapToGrid w:val="0"/>
              <w:jc w:val="both"/>
              <w:rPr>
                <w:rFonts w:eastAsia="Times New Roman" w:cs="mesNewRomanPSMT"/>
                <w:color w:val="595959" w:themeColor="text1" w:themeTint="A6"/>
              </w:rPr>
            </w:pPr>
            <w:r w:rsidRPr="004963D4">
              <w:rPr>
                <w:rFonts w:eastAsia="Times New Roman" w:cs="mesNewRomanPSMT"/>
                <w:color w:val="595959" w:themeColor="text1" w:themeTint="A6"/>
              </w:rPr>
              <w:t>5. Zwiększ interlinię w czwartym akapicie.</w:t>
            </w:r>
          </w:p>
        </w:tc>
      </w:tr>
      <w:tr w:rsidR="0081273C" w:rsidRPr="0081273C" w:rsidTr="00A1419E">
        <w:tc>
          <w:tcPr>
            <w:tcW w:w="9546" w:type="dxa"/>
            <w:shd w:val="clear" w:color="auto" w:fill="auto"/>
          </w:tcPr>
          <w:p w:rsidR="009E239A" w:rsidRPr="004963D4" w:rsidRDefault="009E239A" w:rsidP="009E239A">
            <w:pPr>
              <w:autoSpaceDE w:val="0"/>
              <w:autoSpaceDN w:val="0"/>
              <w:adjustRightInd w:val="0"/>
              <w:snapToGrid w:val="0"/>
              <w:jc w:val="both"/>
              <w:rPr>
                <w:rFonts w:eastAsia="Times New Roman" w:cs="mesNewRomanPSMT"/>
                <w:color w:val="595959" w:themeColor="text1" w:themeTint="A6"/>
              </w:rPr>
            </w:pPr>
            <w:r w:rsidRPr="004963D4">
              <w:rPr>
                <w:rFonts w:eastAsia="Times New Roman" w:cs="mesNewRomanPSMT"/>
                <w:color w:val="595959" w:themeColor="text1" w:themeTint="A6"/>
              </w:rPr>
              <w:t>6. Nadaj obramowanie piątemu akapitowi.</w:t>
            </w:r>
          </w:p>
        </w:tc>
      </w:tr>
      <w:tr w:rsidR="0081273C" w:rsidRPr="0081273C" w:rsidTr="00A1419E">
        <w:tc>
          <w:tcPr>
            <w:tcW w:w="9546" w:type="dxa"/>
            <w:shd w:val="clear" w:color="auto" w:fill="auto"/>
          </w:tcPr>
          <w:p w:rsidR="009E239A" w:rsidRPr="004963D4" w:rsidRDefault="009E239A" w:rsidP="009B22FE">
            <w:pPr>
              <w:autoSpaceDE w:val="0"/>
              <w:autoSpaceDN w:val="0"/>
              <w:adjustRightInd w:val="0"/>
              <w:snapToGrid w:val="0"/>
              <w:jc w:val="both"/>
              <w:rPr>
                <w:rFonts w:eastAsia="Times New Roman" w:cs="mesNewRomanPSMT"/>
                <w:color w:val="595959" w:themeColor="text1" w:themeTint="A6"/>
              </w:rPr>
            </w:pPr>
            <w:r w:rsidRPr="004963D4">
              <w:rPr>
                <w:rFonts w:eastAsia="Times New Roman" w:cs="mesNewRomanPSMT"/>
                <w:color w:val="595959" w:themeColor="text1" w:themeTint="A6"/>
              </w:rPr>
              <w:t>7. Wstaw listę punktową dla dwóch ostatnich akapitów.</w:t>
            </w:r>
          </w:p>
        </w:tc>
      </w:tr>
      <w:tr w:rsidR="0081273C" w:rsidRPr="0081273C" w:rsidTr="00A1419E">
        <w:tc>
          <w:tcPr>
            <w:tcW w:w="9546" w:type="dxa"/>
            <w:shd w:val="clear" w:color="auto" w:fill="auto"/>
          </w:tcPr>
          <w:p w:rsidR="009E239A" w:rsidRPr="004963D4" w:rsidRDefault="009E239A" w:rsidP="009B22FE">
            <w:pPr>
              <w:autoSpaceDE w:val="0"/>
              <w:autoSpaceDN w:val="0"/>
              <w:adjustRightInd w:val="0"/>
              <w:snapToGrid w:val="0"/>
              <w:jc w:val="both"/>
              <w:rPr>
                <w:rFonts w:eastAsia="Times New Roman" w:cs="mesNewRomanPSMT"/>
                <w:color w:val="595959" w:themeColor="text1" w:themeTint="A6"/>
              </w:rPr>
            </w:pPr>
            <w:r w:rsidRPr="004963D4">
              <w:rPr>
                <w:rFonts w:eastAsia="Times New Roman" w:cs="mesNewRomanPSMT"/>
                <w:color w:val="595959" w:themeColor="text1" w:themeTint="A6"/>
              </w:rPr>
              <w:t>8. Pokaż znaki niedrukowalne.</w:t>
            </w:r>
          </w:p>
        </w:tc>
      </w:tr>
    </w:tbl>
    <w:p w:rsidR="009E239A" w:rsidRDefault="009E239A" w:rsidP="00E15DBB">
      <w:pPr>
        <w:autoSpaceDE w:val="0"/>
        <w:autoSpaceDN w:val="0"/>
        <w:adjustRightInd w:val="0"/>
        <w:snapToGrid w:val="0"/>
        <w:spacing w:after="0" w:line="240" w:lineRule="auto"/>
        <w:rPr>
          <w:rFonts w:eastAsia="Times New Roman" w:cs="mesNewRomanPSMT"/>
          <w:color w:val="000000"/>
          <w:sz w:val="24"/>
          <w:szCs w:val="24"/>
        </w:rPr>
      </w:pPr>
    </w:p>
    <w:p w:rsidR="009E239A" w:rsidRDefault="009E239A" w:rsidP="00E15DBB">
      <w:pPr>
        <w:autoSpaceDE w:val="0"/>
        <w:autoSpaceDN w:val="0"/>
        <w:adjustRightInd w:val="0"/>
        <w:snapToGrid w:val="0"/>
        <w:spacing w:after="0" w:line="240" w:lineRule="auto"/>
        <w:rPr>
          <w:rFonts w:eastAsia="Times New Roman" w:cs="mesNewRomanPSMT"/>
          <w:color w:val="000000"/>
          <w:sz w:val="24"/>
          <w:szCs w:val="24"/>
        </w:rPr>
      </w:pPr>
    </w:p>
    <w:p w:rsidR="00E15DBB" w:rsidRDefault="00E15DBB" w:rsidP="00E15DBB">
      <w:pPr>
        <w:autoSpaceDE w:val="0"/>
        <w:autoSpaceDN w:val="0"/>
        <w:adjustRightInd w:val="0"/>
        <w:snapToGrid w:val="0"/>
        <w:spacing w:after="0" w:line="240" w:lineRule="auto"/>
      </w:pPr>
      <w:r>
        <w:rPr>
          <w:rFonts w:eastAsia="Times New Roman" w:cs="mesNewRomanPSMT"/>
          <w:color w:val="000000"/>
          <w:sz w:val="24"/>
          <w:szCs w:val="24"/>
        </w:rPr>
        <w:t>D</w:t>
      </w:r>
      <w:r w:rsidRPr="00E15DBB">
        <w:rPr>
          <w:rFonts w:eastAsia="Times New Roman" w:cs="mesNewRomanPSMT"/>
          <w:color w:val="000000"/>
          <w:sz w:val="24"/>
          <w:szCs w:val="24"/>
        </w:rPr>
        <w:t>ziałalności rolniczej – rozumie się przez to produkcję roślinną i zwierzęcą,</w:t>
      </w:r>
      <w:r>
        <w:rPr>
          <w:rFonts w:eastAsia="Times New Roman" w:cs="mesNewRomanPSMT"/>
          <w:color w:val="000000"/>
          <w:sz w:val="24"/>
          <w:szCs w:val="24"/>
        </w:rPr>
        <w:t xml:space="preserve"> </w:t>
      </w:r>
      <w:r w:rsidRPr="00E15DBB">
        <w:rPr>
          <w:rFonts w:eastAsia="Times New Roman" w:cs="mesNewRomanPSMT"/>
          <w:color w:val="000000"/>
          <w:sz w:val="24"/>
          <w:szCs w:val="24"/>
        </w:rPr>
        <w:t>w tym również produkcję materiału siewneg</w:t>
      </w:r>
      <w:bookmarkStart w:id="0" w:name="_GoBack"/>
      <w:bookmarkEnd w:id="0"/>
      <w:r w:rsidRPr="00E15DBB">
        <w:rPr>
          <w:rFonts w:eastAsia="Times New Roman" w:cs="mesNewRomanPSMT"/>
          <w:color w:val="000000"/>
          <w:sz w:val="24"/>
          <w:szCs w:val="24"/>
        </w:rPr>
        <w:t>o, szkółkarskiego, hodowlanego</w:t>
      </w:r>
      <w:r>
        <w:rPr>
          <w:rFonts w:eastAsia="Times New Roman" w:cs="mesNewRomanPSMT"/>
          <w:color w:val="000000"/>
          <w:sz w:val="24"/>
          <w:szCs w:val="24"/>
        </w:rPr>
        <w:t xml:space="preserve"> </w:t>
      </w:r>
      <w:r w:rsidRPr="00E15DBB">
        <w:rPr>
          <w:rFonts w:eastAsia="Times New Roman" w:cs="mesNewRomanPSMT"/>
          <w:color w:val="000000"/>
          <w:sz w:val="24"/>
          <w:szCs w:val="24"/>
        </w:rPr>
        <w:t>oraz reprodukcyjnego, produkcję warzywniczą, gruntową, szklarniową i pod</w:t>
      </w:r>
      <w:r>
        <w:rPr>
          <w:rFonts w:eastAsia="Times New Roman" w:cs="mesNewRomanPSMT"/>
          <w:color w:val="000000"/>
          <w:sz w:val="24"/>
          <w:szCs w:val="24"/>
        </w:rPr>
        <w:t xml:space="preserve"> </w:t>
      </w:r>
      <w:r w:rsidRPr="00E15DBB">
        <w:rPr>
          <w:rFonts w:eastAsia="Times New Roman" w:cs="mesNewRomanPSMT"/>
          <w:color w:val="000000"/>
          <w:sz w:val="24"/>
          <w:szCs w:val="24"/>
        </w:rPr>
        <w:t>folią, produkcję roślin ozdobnych, grzybów uprawnych i sadowniczą, chów,</w:t>
      </w:r>
      <w:r>
        <w:rPr>
          <w:rFonts w:eastAsia="Times New Roman" w:cs="mesNewRomanPSMT"/>
          <w:color w:val="000000"/>
          <w:sz w:val="24"/>
          <w:szCs w:val="24"/>
        </w:rPr>
        <w:t xml:space="preserve"> </w:t>
      </w:r>
      <w:r w:rsidRPr="00E15DBB">
        <w:rPr>
          <w:rFonts w:eastAsia="Times New Roman" w:cs="mesNewRomanPSMT"/>
          <w:color w:val="000000"/>
          <w:sz w:val="24"/>
          <w:szCs w:val="24"/>
        </w:rPr>
        <w:t>hodowlę i produkcję materiału zarodowego zwierząt, ptactwa i owadów</w:t>
      </w:r>
      <w:r>
        <w:rPr>
          <w:rFonts w:eastAsia="Times New Roman" w:cs="mesNewRomanPSMT"/>
          <w:color w:val="000000"/>
          <w:sz w:val="24"/>
          <w:szCs w:val="24"/>
        </w:rPr>
        <w:t xml:space="preserve"> </w:t>
      </w:r>
      <w:r w:rsidRPr="00E15DBB">
        <w:rPr>
          <w:rFonts w:eastAsia="Times New Roman" w:cs="mesNewRomanPSMT"/>
          <w:color w:val="000000"/>
          <w:sz w:val="24"/>
          <w:szCs w:val="24"/>
        </w:rPr>
        <w:t>użytkowych, produkcję zwierzęcą typu przemysłowego lub fermowego oraz</w:t>
      </w:r>
      <w:r>
        <w:rPr>
          <w:rFonts w:eastAsia="Times New Roman" w:cs="mesNewRomanPSMT"/>
          <w:color w:val="000000"/>
          <w:sz w:val="24"/>
          <w:szCs w:val="24"/>
        </w:rPr>
        <w:t xml:space="preserve"> </w:t>
      </w:r>
      <w:r w:rsidRPr="00E15DBB">
        <w:rPr>
          <w:rFonts w:eastAsia="Times New Roman" w:cs="mesNewRomanPSMT"/>
          <w:color w:val="000000"/>
          <w:sz w:val="24"/>
          <w:szCs w:val="24"/>
        </w:rPr>
        <w:t>chów i hodowlę ryb i innych organizmów żyjących w wodzie, a także uprawy w szklarniach i ogrzewanych tunelach foliowych, uprawy grzybów i ich</w:t>
      </w:r>
      <w:r>
        <w:rPr>
          <w:rFonts w:eastAsia="Times New Roman" w:cs="mesNewRomanPSMT"/>
          <w:color w:val="000000"/>
          <w:sz w:val="24"/>
          <w:szCs w:val="24"/>
        </w:rPr>
        <w:t xml:space="preserve"> </w:t>
      </w:r>
      <w:r w:rsidRPr="00E15DBB">
        <w:rPr>
          <w:rFonts w:eastAsia="Times New Roman" w:cs="mesNewRomanPSMT"/>
          <w:color w:val="000000"/>
          <w:sz w:val="24"/>
          <w:szCs w:val="24"/>
        </w:rPr>
        <w:t>grzybni, uprawy roślin „in vitro”, fermową hodowlę i chów drobiu rzeźnego</w:t>
      </w:r>
      <w:r>
        <w:rPr>
          <w:rFonts w:eastAsia="Times New Roman" w:cs="mesNewRomanPSMT"/>
          <w:color w:val="000000"/>
          <w:sz w:val="24"/>
          <w:szCs w:val="24"/>
        </w:rPr>
        <w:t xml:space="preserve"> </w:t>
      </w:r>
      <w:r w:rsidRPr="00E15DBB">
        <w:rPr>
          <w:rFonts w:eastAsia="Times New Roman" w:cs="mesNewRomanPSMT"/>
          <w:color w:val="000000"/>
          <w:sz w:val="24"/>
          <w:szCs w:val="24"/>
        </w:rPr>
        <w:t>i nieśnego, wylęgarnie drobiu, hodowlę i chów zwierząt futerkowych i laboratoryjnych, chów i hodowlę dżdżownic, entomofagów i jedwabników,</w:t>
      </w:r>
      <w:r>
        <w:rPr>
          <w:rFonts w:eastAsia="Times New Roman" w:cs="mesNewRomanPSMT"/>
          <w:color w:val="000000"/>
          <w:sz w:val="24"/>
          <w:szCs w:val="24"/>
        </w:rPr>
        <w:t xml:space="preserve"> </w:t>
      </w:r>
      <w:r w:rsidRPr="00E15DBB">
        <w:rPr>
          <w:rFonts w:eastAsia="Times New Roman" w:cs="mesNewRomanPSMT"/>
          <w:color w:val="000000"/>
          <w:sz w:val="24"/>
          <w:szCs w:val="24"/>
        </w:rPr>
        <w:t>prowadzenie pasiek oraz chów i hodowlę innych zwierząt poza gospodarstwem rolnym oraz sprzedaż produktów gospodarki leśnej i łowieckiej, z</w:t>
      </w:r>
      <w:r>
        <w:rPr>
          <w:rFonts w:eastAsia="Times New Roman" w:cs="mesNewRomanPSMT"/>
          <w:color w:val="000000"/>
          <w:sz w:val="24"/>
          <w:szCs w:val="24"/>
        </w:rPr>
        <w:t xml:space="preserve"> </w:t>
      </w:r>
      <w:r w:rsidRPr="00E15DBB">
        <w:rPr>
          <w:rFonts w:eastAsia="Times New Roman" w:cs="mesNewRomanPSMT"/>
          <w:color w:val="000000"/>
          <w:sz w:val="24"/>
          <w:szCs w:val="24"/>
        </w:rPr>
        <w:t>wyjątkiem drewna okrągłego z drzew tropikalnych (PKWiU 02.20.13.0) oraz</w:t>
      </w:r>
      <w:r>
        <w:rPr>
          <w:rFonts w:eastAsia="Times New Roman" w:cs="mesNewRomanPSMT"/>
          <w:color w:val="000000"/>
          <w:sz w:val="24"/>
          <w:szCs w:val="24"/>
        </w:rPr>
        <w:t xml:space="preserve"> </w:t>
      </w:r>
      <w:r w:rsidRPr="00E15DBB">
        <w:rPr>
          <w:rFonts w:eastAsia="Times New Roman" w:cs="mesNewRomanPSMT"/>
          <w:color w:val="000000"/>
          <w:sz w:val="24"/>
          <w:szCs w:val="24"/>
        </w:rPr>
        <w:t>bambusa (PKWiU ex 01.29.30.0), a tak</w:t>
      </w:r>
      <w:r>
        <w:rPr>
          <w:rFonts w:eastAsia="Times New Roman" w:cs="mesNewRomanPSMT"/>
          <w:color w:val="000000"/>
          <w:sz w:val="24"/>
          <w:szCs w:val="24"/>
        </w:rPr>
        <w:t>że świadczenie usług rolniczych.</w:t>
      </w:r>
    </w:p>
    <w:p w:rsidR="00E15DBB" w:rsidRDefault="00E15DBB" w:rsidP="00E15DBB">
      <w:pPr>
        <w:autoSpaceDE w:val="0"/>
        <w:autoSpaceDN w:val="0"/>
        <w:adjustRightInd w:val="0"/>
        <w:snapToGrid w:val="0"/>
        <w:spacing w:after="0" w:line="240" w:lineRule="auto"/>
      </w:pPr>
    </w:p>
    <w:p w:rsidR="00E15DBB" w:rsidRDefault="00E15DBB" w:rsidP="00E15DBB">
      <w:r>
        <w:t>Srzedaży wysyłkowej na terytorium kraju – rozumie się przez to dostawę towarów wysyłanych lub transportowanych przez podatnika podatku od wartości dodanej lub na jego rzecz z terytorium państwa członkowskiego innego niż terytorium kraju na terytorium kraju, które jest państwem przeznaczenia dla wysyłanego lub transportowanego towaru, pod warunkiem że dostawa jest dokonywana na rzecz.</w:t>
      </w:r>
    </w:p>
    <w:p w:rsidR="00E15DBB" w:rsidRDefault="00E15DBB" w:rsidP="00E15DBB">
      <w:r>
        <w:t>W przypadku umów zawartych między Rzecząpospolitą Polską a państwem członkowskim lub państwem trzecim w sprawie budowy lub utrzymania mostów transgranicznych lub wspólnych odcinków dróg, za terytorium kraju uznaje się most lub wspólny odcinek drogi oraz miejsce ich budowy, położone poza terytorium kraju, za które, zgodnie z umową, jest odpowiedzialna Rzeczpospolita Polska, jeżeli w odniesieniu do tej umowy została wydana decyzja Rady upoważniająca do stosowania środków stanowiących odstępstwo od art. 5 dyrektywy 2006/112/WE Rady z dnia 28 listopada 2006 r. w sprawie wspólnego systemu podatku od wartości dodanej (Dz. Urz. UE L 347 z 11.12.2006, str. 1, z późn. zm.), zwanej dalej „dyrektywą 2006/112/WE”</w:t>
      </w:r>
      <w:r w:rsidR="005014E8">
        <w:t>.</w:t>
      </w:r>
    </w:p>
    <w:p w:rsidR="005014E8" w:rsidRDefault="005014E8" w:rsidP="00E15DBB"/>
    <w:p w:rsidR="005014E8" w:rsidRPr="005014E8" w:rsidRDefault="005014E8" w:rsidP="005014E8">
      <w:pPr>
        <w:autoSpaceDE w:val="0"/>
        <w:autoSpaceDN w:val="0"/>
        <w:adjustRightInd w:val="0"/>
        <w:snapToGrid w:val="0"/>
        <w:spacing w:after="0" w:line="240" w:lineRule="auto"/>
        <w:rPr>
          <w:rFonts w:eastAsia="Times New Roman" w:cs="mesNewRomanPSMT"/>
          <w:color w:val="000000"/>
          <w:sz w:val="24"/>
          <w:szCs w:val="24"/>
        </w:rPr>
      </w:pPr>
      <w:r>
        <w:rPr>
          <w:rFonts w:eastAsia="Times New Roman" w:cs="mesNewRomanPSMT"/>
          <w:color w:val="000000"/>
          <w:sz w:val="24"/>
          <w:szCs w:val="24"/>
        </w:rPr>
        <w:t xml:space="preserve">Wydanie </w:t>
      </w:r>
      <w:r>
        <w:rPr>
          <w:rFonts w:ascii="mesNewRomanPSMT" w:eastAsia="Times New Roman" w:hAnsi="mesNewRomanPSMT" w:cs="mesNewRomanPSMT"/>
          <w:color w:val="000000"/>
          <w:sz w:val="24"/>
          <w:szCs w:val="24"/>
          <w:lang w:val="x-none"/>
        </w:rPr>
        <w:t>towarów komitentowi przez komisanta na podstawie umowy komisu,</w:t>
      </w:r>
      <w:r>
        <w:rPr>
          <w:rFonts w:eastAsia="Times New Roman" w:cs="mesNewRomanPSMT"/>
          <w:color w:val="000000"/>
          <w:sz w:val="24"/>
          <w:szCs w:val="24"/>
        </w:rPr>
        <w:t xml:space="preserve"> </w:t>
      </w:r>
      <w:r>
        <w:rPr>
          <w:rFonts w:ascii="mesNewRomanPSMT" w:eastAsia="Times New Roman" w:hAnsi="mesNewRomanPSMT" w:cs="mesNewRomanPSMT"/>
          <w:color w:val="000000"/>
          <w:sz w:val="24"/>
          <w:szCs w:val="24"/>
          <w:lang w:val="x-none"/>
        </w:rPr>
        <w:t>jeżeli komisant zobowiązany był do nabycia rzeczy na rachunek komitenta</w:t>
      </w:r>
    </w:p>
    <w:p w:rsidR="005014E8" w:rsidRPr="005014E8" w:rsidRDefault="005014E8" w:rsidP="005014E8">
      <w:pPr>
        <w:autoSpaceDE w:val="0"/>
        <w:autoSpaceDN w:val="0"/>
        <w:adjustRightInd w:val="0"/>
        <w:snapToGrid w:val="0"/>
        <w:spacing w:after="0" w:line="240" w:lineRule="auto"/>
        <w:rPr>
          <w:rFonts w:eastAsia="Times New Roman" w:cs="mesNewRomanPSMT"/>
          <w:color w:val="000000"/>
          <w:sz w:val="24"/>
          <w:szCs w:val="24"/>
        </w:rPr>
      </w:pPr>
    </w:p>
    <w:p w:rsidR="005014E8" w:rsidRDefault="005014E8" w:rsidP="00E15DBB"/>
    <w:p w:rsidR="005014E8" w:rsidRDefault="005014E8" w:rsidP="005014E8">
      <w:pPr>
        <w:autoSpaceDE w:val="0"/>
        <w:autoSpaceDN w:val="0"/>
        <w:adjustRightInd w:val="0"/>
        <w:snapToGrid w:val="0"/>
        <w:spacing w:after="0" w:line="240" w:lineRule="auto"/>
        <w:rPr>
          <w:rFonts w:ascii="mesNewRomanPSMT" w:eastAsia="Times New Roman" w:hAnsi="mesNewRomanPSMT" w:cs="mesNewRomanPSMT"/>
          <w:color w:val="000000"/>
          <w:sz w:val="24"/>
          <w:szCs w:val="24"/>
          <w:lang w:val="x-none"/>
        </w:rPr>
      </w:pPr>
      <w:r>
        <w:rPr>
          <w:rFonts w:ascii="mesNewRomanPSMT" w:eastAsia="Times New Roman" w:hAnsi="mesNewRomanPSMT" w:cs="mesNewRomanPSMT"/>
          <w:color w:val="000000"/>
          <w:sz w:val="24"/>
          <w:szCs w:val="24"/>
          <w:lang w:val="x-none"/>
        </w:rPr>
        <w:t>Przez umowy dzierżawy, najmu, leasingu lub inne umowy o podobnym charakterze, o których mowa w ust. 1 pkt 2, rozumie się umowy w wyniku których,</w:t>
      </w:r>
      <w:r>
        <w:rPr>
          <w:rFonts w:eastAsia="Times New Roman" w:cs="mesNewRomanPSMT"/>
          <w:color w:val="000000"/>
          <w:sz w:val="24"/>
          <w:szCs w:val="24"/>
        </w:rPr>
        <w:t xml:space="preserve"> </w:t>
      </w:r>
      <w:r>
        <w:rPr>
          <w:rFonts w:ascii="mesNewRomanPSMT" w:eastAsia="Times New Roman" w:hAnsi="mesNewRomanPSMT" w:cs="mesNewRomanPSMT"/>
          <w:color w:val="000000"/>
          <w:sz w:val="24"/>
          <w:szCs w:val="24"/>
          <w:lang w:val="x-none"/>
        </w:rPr>
        <w:t>zgodnie z przepisami o podatku dochodowym, odpisów amortyzacyjnych dokonuje</w:t>
      </w:r>
      <w:r>
        <w:rPr>
          <w:rFonts w:eastAsia="Times New Roman" w:cs="mesNewRomanPSMT"/>
          <w:color w:val="000000"/>
          <w:sz w:val="24"/>
          <w:szCs w:val="24"/>
        </w:rPr>
        <w:t xml:space="preserve"> </w:t>
      </w:r>
      <w:r>
        <w:rPr>
          <w:rFonts w:ascii="mesNewRomanPSMT" w:eastAsia="Times New Roman" w:hAnsi="mesNewRomanPSMT" w:cs="mesNewRomanPSMT"/>
          <w:color w:val="000000"/>
          <w:sz w:val="24"/>
          <w:szCs w:val="24"/>
          <w:lang w:val="x-none"/>
        </w:rPr>
        <w:t>korzystający oraz umowy leasingu w rozumieniu tych przepisów, których</w:t>
      </w:r>
      <w:r>
        <w:rPr>
          <w:rFonts w:eastAsia="Times New Roman" w:cs="mesNewRomanPSMT"/>
          <w:color w:val="000000"/>
          <w:sz w:val="24"/>
          <w:szCs w:val="24"/>
        </w:rPr>
        <w:t xml:space="preserve"> </w:t>
      </w:r>
      <w:r>
        <w:rPr>
          <w:rFonts w:ascii="mesNewRomanPSMT" w:eastAsia="Times New Roman" w:hAnsi="mesNewRomanPSMT" w:cs="mesNewRomanPSMT"/>
          <w:color w:val="000000"/>
          <w:sz w:val="24"/>
          <w:szCs w:val="24"/>
          <w:lang w:val="x-none"/>
        </w:rPr>
        <w:t>przedmiotami są grunty.</w:t>
      </w:r>
    </w:p>
    <w:p w:rsidR="005014E8" w:rsidRDefault="005014E8" w:rsidP="00E15DBB"/>
    <w:p w:rsidR="005014E8" w:rsidRDefault="005014E8" w:rsidP="005014E8">
      <w:pPr>
        <w:autoSpaceDE w:val="0"/>
        <w:autoSpaceDN w:val="0"/>
        <w:adjustRightInd w:val="0"/>
        <w:snapToGrid w:val="0"/>
        <w:spacing w:after="0" w:line="240" w:lineRule="auto"/>
      </w:pPr>
      <w:r>
        <w:t>Przez świadczenie usług, o którym mowa w art. 5 ust. 1 pkt 1, rozumie się każde świadczenie na rzecz osoby fizycznej, osoby prawnej lub jednostki organizacyjnej niemającej osobowości prawnej, które nie stanowi dostawy towarów w rozumieniu art. 7, w tym również:</w:t>
      </w:r>
    </w:p>
    <w:p w:rsidR="005014E8" w:rsidRDefault="005014E8" w:rsidP="005014E8">
      <w:pPr>
        <w:autoSpaceDE w:val="0"/>
        <w:autoSpaceDN w:val="0"/>
        <w:adjustRightInd w:val="0"/>
        <w:snapToGrid w:val="0"/>
        <w:spacing w:after="0" w:line="240" w:lineRule="auto"/>
      </w:pPr>
    </w:p>
    <w:p w:rsidR="005014E8" w:rsidRPr="005014E8" w:rsidRDefault="005014E8" w:rsidP="005014E8">
      <w:pPr>
        <w:autoSpaceDE w:val="0"/>
        <w:autoSpaceDN w:val="0"/>
        <w:adjustRightInd w:val="0"/>
        <w:snapToGrid w:val="0"/>
        <w:spacing w:after="0" w:line="240" w:lineRule="auto"/>
      </w:pPr>
      <w:r w:rsidRPr="005014E8">
        <w:t>Wewnątrzwspólnotowe nabycie towarów, o którym mowa w art. 9, nie występuje w przypadku, gdy:</w:t>
      </w:r>
    </w:p>
    <w:sectPr w:rsidR="005014E8" w:rsidRPr="005014E8" w:rsidSect="002C646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E15DBB"/>
    <w:rsid w:val="000114DF"/>
    <w:rsid w:val="004963D4"/>
    <w:rsid w:val="005014E8"/>
    <w:rsid w:val="0081273C"/>
    <w:rsid w:val="009E239A"/>
    <w:rsid w:val="00A1419E"/>
    <w:rsid w:val="00DB52C9"/>
    <w:rsid w:val="00DD3582"/>
    <w:rsid w:val="00E15D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8FC30-070B-4E56-AF99-FAD00E3A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DB52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E2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476</Words>
  <Characters>2859</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dc:creator>
  <cp:lastModifiedBy>Maciej</cp:lastModifiedBy>
  <cp:revision>6</cp:revision>
  <dcterms:created xsi:type="dcterms:W3CDTF">2014-02-02T21:38:00Z</dcterms:created>
  <dcterms:modified xsi:type="dcterms:W3CDTF">2016-11-09T07:32:00Z</dcterms:modified>
</cp:coreProperties>
</file>